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представителя истца Гуровой А.М., действующей на основании доверенности, ответчика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6"/>
          <w:szCs w:val="26"/>
        </w:rPr>
        <w:t>297-2803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к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Дарье Николаевне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оплате коммунальной услуги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обратилось в суд к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 о взыскании задолженности по оплате коммунальных услуг по обращению с твердыми коммунальными отходами (далее-ТКО).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мотивированы тем, что истец является региональным оператором по обращению с ТКО. Ответчик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с 10.02.2021 по 23.02.2025 являлась нанимателем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Данное жилое помещение находится в собственности администрации города Ханты-Мансийска. </w:t>
      </w:r>
      <w:r>
        <w:rPr>
          <w:rFonts w:ascii="Times New Roman" w:eastAsia="Times New Roman" w:hAnsi="Times New Roman" w:cs="Times New Roman"/>
          <w:sz w:val="26"/>
          <w:szCs w:val="26"/>
        </w:rPr>
        <w:t>Истец услугу по обращению с ТКО оказыва</w:t>
      </w:r>
      <w:r>
        <w:rPr>
          <w:rFonts w:ascii="Times New Roman" w:eastAsia="Times New Roman" w:hAnsi="Times New Roman" w:cs="Times New Roman"/>
          <w:sz w:val="26"/>
          <w:szCs w:val="26"/>
        </w:rPr>
        <w:t>л ответчику надлежащим образом,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днако размер неоплаченной задолженности по обращению с ТКО у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оказанных услуг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01.01.2024 по 23.02.2025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208,25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Определением суда от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отменен судебный приказ по делу №2-</w:t>
      </w:r>
      <w:r>
        <w:rPr>
          <w:rFonts w:ascii="Times New Roman" w:eastAsia="Times New Roman" w:hAnsi="Times New Roman" w:cs="Times New Roman"/>
          <w:sz w:val="26"/>
          <w:szCs w:val="26"/>
        </w:rPr>
        <w:t>3252-2803/2025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вынесенный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обращению с ТКО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01.01.2024 по 23.02.2025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истец просит взыскать с ответчика задолженность по оплате коммунальной услуги по обращению с ТКО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208,25 руб.,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расходы по оплате государственной пошлины в размере 4000 руб.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Определением суда от 28.04.2026 к участию в деле в качестве третьего лица на стороне ответчика привлечен собственник </w:t>
      </w:r>
      <w:r>
        <w:rPr>
          <w:rFonts w:ascii="Times New Roman" w:eastAsia="Times New Roman" w:hAnsi="Times New Roman" w:cs="Times New Roman"/>
          <w:sz w:val="26"/>
          <w:szCs w:val="26"/>
        </w:rPr>
        <w:t>жилого помещения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Администрация города Ханты-Мансийска.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истца Гурова А.М. исковые требования поддержала, просила их удовлетворить полностью, пояснила, что в исковом заявлении ошибочно указан адрес спорного жилого помещения: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3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тогда как, из спорным жилым помещением является помещение, расположенное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что следует из приложенных к иску документов.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Ответчик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 с исковыми требованиями не согласилась, просила отказать в их удовлетворении полностью, поскольку никогда не проживала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3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Изначально Департаментом муниципальной собственности с ней заключен договор найма на квартиру №5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д.61, затем с ней заключили договор найма на ква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ртиру №6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д.61, в данном жилом помещении она проживала до января 2024 года, оплату за коммунальные услуги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последний раз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произвела в декабре 2023 года. С 01.01.2024 проживала в СНТ «Кедр»,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справкой председателя СНТ,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квартиру по акту сдала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феврале 2025 года. </w:t>
      </w:r>
      <w:r>
        <w:rPr>
          <w:rFonts w:ascii="Times New Roman" w:eastAsia="Times New Roman" w:hAnsi="Times New Roman" w:cs="Times New Roman"/>
          <w:sz w:val="26"/>
          <w:szCs w:val="26"/>
        </w:rPr>
        <w:t>Она, как индивидуальный предприниматель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 «Югра-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Экология» </w:t>
      </w:r>
      <w:r>
        <w:rPr>
          <w:rFonts w:ascii="Times New Roman" w:eastAsia="Times New Roman" w:hAnsi="Times New Roman" w:cs="Times New Roman"/>
          <w:sz w:val="26"/>
          <w:szCs w:val="26"/>
        </w:rPr>
        <w:t>заключила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оплачивает коммунальную услугу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Зарегистрирована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5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5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так как не может зарегистрироваться в СНТ «Кедр». Считает, что истец не вправе изменять исковые требования, в частности, изменять жилое помещение, на которое он ссылается изначально в иске.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третьего лица в судебное заседание не явился, третье лицо извещено о месте и времени судебного заседания надлежащим образом.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ст.167 ГПК РФ, счел возможным рассмотреть дело в отсутствии представителя третьего лица.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стороны,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зучив материалы гражданского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 дела №2-3252-2803/2026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(приказное производство)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пришел к следующему.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ч.1 ст.153 Жилищного кодекса Российской Федерации (далее-ЖК РФ) граждане и организации обязаны своевременно и полностью вносить плату за жилое помещение и коммунальные услуги.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 ч.2 ст.153 ЖК РФ </w:t>
      </w:r>
      <w:r>
        <w:rPr>
          <w:rFonts w:ascii="Times New Roman" w:eastAsia="Times New Roman" w:hAnsi="Times New Roman" w:cs="Times New Roman"/>
          <w:sz w:val="28"/>
          <w:szCs w:val="28"/>
        </w:rPr>
        <w:t>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ч.4 ст.154 ЖК 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 плата за коммунальные услуги </w:t>
      </w:r>
      <w:r>
        <w:rPr>
          <w:rFonts w:ascii="Times New Roman" w:eastAsia="Times New Roman" w:hAnsi="Times New Roman" w:cs="Times New Roman"/>
          <w:sz w:val="26"/>
          <w:szCs w:val="26"/>
        </w:rPr>
        <w:t>включает в себя плату за обращение с твердыми коммунальными отходами.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ст.155 ЖК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(в редакции закона, действовавшего на дату возникновения правоотношений)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плата за жилое помещение и коммунальные услуги вносится ежемесячно до десятого числа месяца,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следующего за истекшим месяцем.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п.1 ст.24.6 Федерального закона от 24 июня 1998 года №89-ФЗ «Об отходах производства и потребления» (далее-Федеральный закон №89-ФЗ) обращение с твердыми коммунальными отходами обеспечивается региональными операторами.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п.1 ст.24.7 Федерального закона №89-ФЗ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отходов. Договор на оказание услуг по обращению с твердыми коммунальными отходами является публичным для регионального оператора.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п.2 ст.24.7 Федерального закона №89-ФЗ по договору оказания услуг по обращению с твердыми коммунальными отходами региональный оператор обязуется принимать твердые коммунальные отходы в объеме и в местах (на площадках) накопления, которые определены в этом договоре, и обеспечивать их транспортирование, обработку, обезвреживание, захоронение в соответствии с законодательством Российской Федерации, а собственник твердых коммунальных отходов обязуется оплачивать услуги регионального оператора по цене, определенной в пределах утвержденного в установленном порядке единого тарифа на услуги регионального оператора.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 (п.4 ст.24.7 Федерального закона №89-ФЗ).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Постановлением Правительства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06.05.2011 №354 </w:t>
      </w:r>
      <w:r>
        <w:rPr>
          <w:rFonts w:ascii="Times New Roman" w:eastAsia="Times New Roman" w:hAnsi="Times New Roman" w:cs="Times New Roman"/>
          <w:sz w:val="26"/>
          <w:szCs w:val="26"/>
        </w:rPr>
        <w:t>утверждены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 (далее - Правила №354).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Правилами №354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расчет размера платы за коммунальную услугу по обращению с твердыми коммунальными отходами, предоставленную потребителю в жилом помещении, осуществляется, по общему правилу, по формуле 9.1 приложения №2 к Правилам (абзац первый пункта 148(30)), то есть исходя из количества граждан, постоянно или временно проживающих в конкретном жилом помещении, на основании нормативов накопления твердых коммунальных отходов и цены на данную коммунальную услугу, определенной в пределах утвержденного в установленном порядке единого тарифа на услугу регионального оператора по обращению с твердыми коммунальными отходами.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Единые тарифы на услугу регионального оператора установлены приказами Региональной службы по тарифам по Ханты-Мансийскому автономному округу – Югре №132-нп от 14.12.2023, №122-нп от 12.12.2024, имеющиеся в общем доступе в сети «Интернет».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 и установлено в судебном заседании АО «Югра-Экология» является региональным оператором по обращению с твердыми коммунальными отходами. Зоной деятельности регионального оператора в соответствии с Соглашением об организации деятельности по обращению с твердыми коммунальными отходами №25 от 02.04.2018, заключенным между Департаментом промышленности ХМА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-Югры и АО «Югра-Экология», является, в числе прочего, территория городского округа город Ханты-Мансийск.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Типовая форма договора оказания услуг по обращению с твердыми коммунальными отходами размещена в газете «Новости Югры» выпуск №7 (19481) от 24.01.2019.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положения п.8.17 Правил №1156 договор оказания услуг по обращению с твердыми коммунальными отходами считается заключенным на 16-й рабочий день после размещения региональным оператором предложения о его заключении, то есть 15.02.2019, что судом рассматривается как начало оказания услуг.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Д.Н. в период с 01.01.2024 по 23.02.2025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</w:t>
      </w:r>
      <w:r>
        <w:rPr>
          <w:rFonts w:ascii="Times New Roman" w:eastAsia="Times New Roman" w:hAnsi="Times New Roman" w:cs="Times New Roman"/>
          <w:sz w:val="26"/>
          <w:szCs w:val="26"/>
        </w:rPr>
        <w:t>лялась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жилого помещения, расположенного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копиями договоров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найма жилого помещения от 10.02.2021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02.09.2022, а также копией акта приёма-передачи ключей от 10.02.2021 и копией акта возврата жилого помещения от 24.02.2025.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между истцом и ответчиком, несмотря на отсутствие письменной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формы, в установленном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заключен договор по обращению с твердыми бытовыми отходами в отношении объекта, находящегося в </w:t>
      </w:r>
      <w:r>
        <w:rPr>
          <w:rFonts w:ascii="Times New Roman" w:eastAsia="Times New Roman" w:hAnsi="Times New Roman" w:cs="Times New Roman"/>
          <w:sz w:val="26"/>
          <w:szCs w:val="26"/>
        </w:rPr>
        <w:t>пользовании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истца,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8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8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связи с ненадлежащим исполнением ответчиком обязательств по оплате коммунальной услуги по обращению с твердыми коммунальными отходами за периоды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01.01.2024 по 23.02.2025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образовалась задолженность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208, 25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Судебный приказ от </w:t>
      </w:r>
      <w:r>
        <w:rPr>
          <w:rFonts w:ascii="Times New Roman" w:eastAsia="Times New Roman" w:hAnsi="Times New Roman" w:cs="Times New Roman"/>
          <w:sz w:val="26"/>
          <w:szCs w:val="26"/>
        </w:rPr>
        <w:t>11.01.2024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с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АО «Югра-Экология» задолженности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01.01.2024 по 23.02.2025 в размере 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208,25 руб.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определением суда от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ответчиком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 внесения </w:t>
      </w:r>
      <w:r>
        <w:rPr>
          <w:rFonts w:ascii="Times New Roman" w:eastAsia="Times New Roman" w:hAnsi="Times New Roman" w:cs="Times New Roman"/>
          <w:sz w:val="26"/>
          <w:szCs w:val="26"/>
        </w:rPr>
        <w:t>платы за коммунальную услугу по обращению с ТКО не представлено, требования истца являются обоснованными.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Расчет задолженности, представленный истцом, судом проверен, ответчиком не опровергнут, п</w:t>
      </w:r>
      <w:r>
        <w:rPr>
          <w:rFonts w:ascii="Times New Roman" w:eastAsia="Times New Roman" w:hAnsi="Times New Roman" w:cs="Times New Roman"/>
          <w:sz w:val="26"/>
          <w:szCs w:val="26"/>
        </w:rPr>
        <w:t>ри этом, размер задолженности произведен верно, в соответствии с тарифами, утвержденными Региональной службой по тарифам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Доводы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ответчика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ТКО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взысканию</w:t>
      </w:r>
      <w:r>
        <w:rPr>
          <w:rFonts w:ascii="Times New Roman" w:eastAsia="Times New Roman" w:hAnsi="Times New Roman" w:cs="Times New Roman"/>
          <w:sz w:val="26"/>
          <w:szCs w:val="26"/>
        </w:rPr>
        <w:t>, ввиду того, что в спорный период в квартире она не проживала и услугой по обращению с ТКО не пользовалась, не принимаются во внимание, поскольку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38291/entry/155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ч.11 ст.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155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ЖК РФ неиспользование </w:t>
      </w:r>
      <w:r>
        <w:rPr>
          <w:rFonts w:ascii="Times New Roman" w:eastAsia="Times New Roman" w:hAnsi="Times New Roman" w:cs="Times New Roman"/>
          <w:sz w:val="26"/>
          <w:szCs w:val="26"/>
        </w:rPr>
        <w:t>нанимателями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иными лицами помещений не является основанием невнесения платы за жилое помещение и коммунальные услуги.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86043/entry/1484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148(44)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 №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(в редакции, действовавшей в спорный период) при временном, то есть более 5 полных календарных дней подряд,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порядке, предусмотренном разделом VIII данных Правил.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91 раздела VIII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86043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Правил №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354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предусмотрено, что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(далее - заявление о перерасчете), поданного до начала периода временного отсутствия потребителя или не позднее 30 дней после окончания периода временного отсутствия потребителя.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потребителя, но не более чем за 6 месяцев. Если по истечении 6 месяцев, за которые исполнителем произведен перерасчет размера платы за коммунальные услуги,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отсутствия, то перерасчет размера платы за коммунальные услуги осуществляется исполнителем за период, указанный в заявлении о продлении периода временного отсутствия потребителя, но не более чем за 6 месяцев, следующих за периодом, за который исполнителем произведен перерасчет размера платы за коммунальные услуги.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 содержания приведенных норм права следует, что перерасчет платы за коммунальные услуги в связи с временным отсутствием потребителя в жилом помещении производится при соблюдении потребителем нормативно установленного порядка обращения за перерасчетом и представления им документов, подтверждающих факт его временного отсутствия в жилом помещении и продолжительность такого отсутствия.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дела не содержат доказательств обращения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АО «Югра-Экология»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заявлением о перерасчете платы за услугу по обращению с твердыми коммунальными отходами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01.01.2024 по 25.02.2025.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требования о перерасчете платы за коммунальную услугу за время отсутствия в жилом помещении носят заявительный характер, нормативно установленный порядок обращения за перерасчетом ответчиком не соблюден, оснований для освобождения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 от оплаты за услугу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обращение с </w:t>
      </w:r>
      <w:r>
        <w:rPr>
          <w:rFonts w:ascii="Times New Roman" w:eastAsia="Times New Roman" w:hAnsi="Times New Roman" w:cs="Times New Roman"/>
          <w:sz w:val="26"/>
          <w:szCs w:val="26"/>
        </w:rPr>
        <w:t>ТКО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Довод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иск подан в суд неуполномоченным лицом, подлежит отклонению.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исковое заявление подписано представителем </w:t>
      </w:r>
      <w:r>
        <w:rPr>
          <w:rFonts w:ascii="Times New Roman" w:eastAsia="Times New Roman" w:hAnsi="Times New Roman" w:cs="Times New Roman"/>
          <w:sz w:val="26"/>
          <w:szCs w:val="26"/>
        </w:rPr>
        <w:t>Гуровой А.М.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действующей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подписания и подачи иска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доверенности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№148/25 от 15.10.2025, выданной директором АО «Югорская территориальная энергетическая компания-Региональные сети», являющейся управляющей организацией АО «Югра-Экология», Медведевым М.Э.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договору №12675-пр/23 от 21.07.2023, заключенному между АО «Югорская территориальная энергетическая компания-Региональные сети» (Управляющая организация) и АО «Югра-Экология» (Общество), общество передает, а Управляющая организация принимает на себя и осуществляет закрепленные Уставом АО «Югра-Экология», иными локальными документами Общества и законодательством РФ полномочия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единоличного исполнительного органа Общества (директора).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выписке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ЕГРЮЛ в отношении АО «ЮТЭК-Региональные сети»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 до 19.03.2026 являлся Медведев М.Э.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подписания и подачи иска в суд полномочия </w:t>
      </w:r>
      <w:r>
        <w:rPr>
          <w:rFonts w:ascii="Times New Roman" w:eastAsia="Times New Roman" w:hAnsi="Times New Roman" w:cs="Times New Roman"/>
          <w:sz w:val="26"/>
          <w:szCs w:val="26"/>
        </w:rPr>
        <w:t>Медведева М.Э. как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прекращены не были, в связи с чем 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подписано и подано уполномоченным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8809/entry/88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ст.88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 судебные расходы состоят из государственной пошлины и издержек, связанных с рассмотрением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4" w:anchor="/document/12128809/entry/9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ст.98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следует из материалов дела, истцом при обращении в суд понесены судебные расходы на оплату государственной пошлины в размере 4 000 рублей (л.д.11,12).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Учитывая, что по результатам рассмотрения спора иск подлежит удовлетворению, судебные расходы истца на уплату государственной пошлины подлежат компенсации за счет ответчика.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ст.ст.194-199 ГПК РФ,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(ИНН: 8601065381) к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53rplc-11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65rplc-1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коммунальной услуги по обращению с т</w:t>
      </w:r>
      <w:r>
        <w:rPr>
          <w:rFonts w:ascii="Times New Roman" w:eastAsia="Times New Roman" w:hAnsi="Times New Roman" w:cs="Times New Roman"/>
          <w:sz w:val="26"/>
          <w:szCs w:val="26"/>
        </w:rPr>
        <w:t>вердыми коммунальными отходами.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Дарьи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АО «Югра-Экология»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 по оплате коммунальной услуги по обращению с твердыми коммунальными отходами по лицевому счету №</w:t>
      </w:r>
      <w:r>
        <w:rPr>
          <w:rFonts w:ascii="Times New Roman" w:eastAsia="Times New Roman" w:hAnsi="Times New Roman" w:cs="Times New Roman"/>
          <w:sz w:val="26"/>
          <w:szCs w:val="26"/>
        </w:rPr>
        <w:t>74813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открытому в отношении жилого помещения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64rplc-1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62rplc-1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01.01.2024 по 23.02.2025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208,25 рублей в счет погашения задолженности по основному долгу.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Недыба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Дарьи Николаевны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 АО «Югра-Экология»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Ханты-Мансийский районный суд путем подачи жалобы мировому судье в течение месяца со дня принятия мировым судьей решения.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составлено 29 мая 2026 года по ходатайству ответчика.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64rplc-15">
    <w:name w:val="cat-UserDefined grp-64 rplc-15"/>
    <w:basedOn w:val="DefaultParagraphFont"/>
  </w:style>
  <w:style w:type="character" w:customStyle="1" w:styleId="cat-UserDefinedgrp-62rplc-16">
    <w:name w:val="cat-UserDefined grp-62 rplc-16"/>
    <w:basedOn w:val="DefaultParagraphFont"/>
  </w:style>
  <w:style w:type="character" w:customStyle="1" w:styleId="cat-UserDefinedgrp-64rplc-32">
    <w:name w:val="cat-UserDefined grp-64 rplc-32"/>
    <w:basedOn w:val="DefaultParagraphFont"/>
  </w:style>
  <w:style w:type="character" w:customStyle="1" w:styleId="cat-UserDefinedgrp-63rplc-33">
    <w:name w:val="cat-UserDefined grp-63 rplc-33"/>
    <w:basedOn w:val="DefaultParagraphFont"/>
  </w:style>
  <w:style w:type="character" w:customStyle="1" w:styleId="cat-UserDefinedgrp-64rplc-35">
    <w:name w:val="cat-UserDefined grp-64 rplc-35"/>
    <w:basedOn w:val="DefaultParagraphFont"/>
  </w:style>
  <w:style w:type="character" w:customStyle="1" w:styleId="cat-UserDefinedgrp-62rplc-36">
    <w:name w:val="cat-UserDefined grp-62 rplc-36"/>
    <w:basedOn w:val="DefaultParagraphFont"/>
  </w:style>
  <w:style w:type="character" w:customStyle="1" w:styleId="cat-UserDefinedgrp-64rplc-39">
    <w:name w:val="cat-UserDefined grp-64 rplc-39"/>
    <w:basedOn w:val="DefaultParagraphFont"/>
  </w:style>
  <w:style w:type="character" w:customStyle="1" w:styleId="cat-UserDefinedgrp-63rplc-40">
    <w:name w:val="cat-UserDefined grp-63 rplc-40"/>
    <w:basedOn w:val="DefaultParagraphFont"/>
  </w:style>
  <w:style w:type="character" w:customStyle="1" w:styleId="cat-UserDefinedgrp-64rplc-42">
    <w:name w:val="cat-UserDefined grp-64 rplc-42"/>
    <w:basedOn w:val="DefaultParagraphFont"/>
  </w:style>
  <w:style w:type="character" w:customStyle="1" w:styleId="cat-UserDefinedgrp-64rplc-44">
    <w:name w:val="cat-UserDefined grp-64 rplc-44"/>
    <w:basedOn w:val="DefaultParagraphFont"/>
  </w:style>
  <w:style w:type="character" w:customStyle="1" w:styleId="cat-UserDefinedgrp-64rplc-52">
    <w:name w:val="cat-UserDefined grp-64 rplc-52"/>
    <w:basedOn w:val="DefaultParagraphFont"/>
  </w:style>
  <w:style w:type="character" w:customStyle="1" w:styleId="cat-UserDefinedgrp-62rplc-53">
    <w:name w:val="cat-UserDefined grp-62 rplc-53"/>
    <w:basedOn w:val="DefaultParagraphFont"/>
  </w:style>
  <w:style w:type="character" w:customStyle="1" w:styleId="cat-UserDefinedgrp-64rplc-73">
    <w:name w:val="cat-UserDefined grp-64 rplc-73"/>
    <w:basedOn w:val="DefaultParagraphFont"/>
  </w:style>
  <w:style w:type="character" w:customStyle="1" w:styleId="cat-UserDefinedgrp-62rplc-74">
    <w:name w:val="cat-UserDefined grp-62 rplc-74"/>
    <w:basedOn w:val="DefaultParagraphFont"/>
  </w:style>
  <w:style w:type="character" w:customStyle="1" w:styleId="cat-UserDefinedgrp-64rplc-80">
    <w:name w:val="cat-UserDefined grp-64 rplc-80"/>
    <w:basedOn w:val="DefaultParagraphFont"/>
  </w:style>
  <w:style w:type="character" w:customStyle="1" w:styleId="cat-UserDefinedgrp-62rplc-81">
    <w:name w:val="cat-UserDefined grp-62 rplc-81"/>
    <w:basedOn w:val="DefaultParagraphFont"/>
  </w:style>
  <w:style w:type="character" w:customStyle="1" w:styleId="cat-PassportDatagrp-53rplc-117">
    <w:name w:val="cat-PassportData grp-53 rplc-117"/>
    <w:basedOn w:val="DefaultParagraphFont"/>
  </w:style>
  <w:style w:type="character" w:customStyle="1" w:styleId="cat-UserDefinedgrp-65rplc-121">
    <w:name w:val="cat-UserDefined grp-65 rplc-121"/>
    <w:basedOn w:val="DefaultParagraphFont"/>
  </w:style>
  <w:style w:type="character" w:customStyle="1" w:styleId="cat-UserDefinedgrp-64rplc-127">
    <w:name w:val="cat-UserDefined grp-64 rplc-127"/>
    <w:basedOn w:val="DefaultParagraphFont"/>
  </w:style>
  <w:style w:type="character" w:customStyle="1" w:styleId="cat-UserDefinedgrp-62rplc-128">
    <w:name w:val="cat-UserDefined grp-62 rplc-1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